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33C" w:rsidRPr="00DB233C" w:rsidRDefault="00DB233C" w:rsidP="00DB233C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b/>
          <w:bCs/>
          <w:kern w:val="36"/>
          <w:sz w:val="40"/>
          <w:szCs w:val="40"/>
          <w:lang w:val="uk-UA" w:eastAsia="ru-RU"/>
        </w:rPr>
      </w:pPr>
      <w:r w:rsidRPr="00DB2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План заходів</w:t>
      </w:r>
    </w:p>
    <w:p w:rsidR="00DB233C" w:rsidRPr="00DB233C" w:rsidRDefault="00DB233C" w:rsidP="00DB233C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b/>
          <w:bCs/>
          <w:kern w:val="36"/>
          <w:sz w:val="40"/>
          <w:szCs w:val="40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Грозинської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гімназії</w:t>
      </w:r>
    </w:p>
    <w:p w:rsidR="00DB233C" w:rsidRPr="00DB233C" w:rsidRDefault="00DB233C" w:rsidP="00DB233C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b/>
          <w:bCs/>
          <w:kern w:val="36"/>
          <w:sz w:val="40"/>
          <w:szCs w:val="40"/>
          <w:lang w:val="uk-UA" w:eastAsia="ru-RU"/>
        </w:rPr>
      </w:pPr>
      <w:r w:rsidRPr="00DB2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щодо профілактики </w:t>
      </w:r>
      <w:proofErr w:type="spellStart"/>
      <w:r w:rsidRPr="00DB2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булінгу</w:t>
      </w:r>
      <w:proofErr w:type="spellEnd"/>
    </w:p>
    <w:p w:rsidR="00DB233C" w:rsidRPr="00DB233C" w:rsidRDefault="00DB233C" w:rsidP="00DB233C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b/>
          <w:bCs/>
          <w:kern w:val="36"/>
          <w:sz w:val="40"/>
          <w:szCs w:val="40"/>
          <w:lang w:val="uk-UA" w:eastAsia="ru-RU"/>
        </w:rPr>
      </w:pPr>
      <w:r w:rsidRPr="00DB2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в учнівському середовищі у 20</w:t>
      </w:r>
      <w:r w:rsidR="009A2A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20</w:t>
      </w:r>
      <w:r w:rsidRPr="00DB2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-202</w:t>
      </w:r>
      <w:r w:rsidR="009A2A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1</w:t>
      </w:r>
      <w:r w:rsidRPr="00DB2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навчальному році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1"/>
        <w:gridCol w:w="2219"/>
        <w:gridCol w:w="1377"/>
        <w:gridCol w:w="1276"/>
        <w:gridCol w:w="2410"/>
        <w:gridCol w:w="1808"/>
      </w:tblGrid>
      <w:tr w:rsidR="00DB233C" w:rsidRPr="00DB233C" w:rsidTr="00DB233C"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Назва заходу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</w:t>
            </w:r>
            <w:r w:rsidRPr="00D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Цільова аудиторія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Термін проведення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Відмітка про виконання                             </w:t>
            </w:r>
          </w:p>
        </w:tc>
      </w:tr>
      <w:tr w:rsidR="00DB233C" w:rsidRPr="00DB233C" w:rsidTr="00DB233C"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Інформування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педагогічного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колективу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деяких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законодавчих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актів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протидії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цькуванню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Закону </w:t>
            </w: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запобігання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протидію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домашньому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насильству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Педагогіч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ний колектив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 ЗЗСО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DB233C" w:rsidRPr="00DB233C" w:rsidTr="00DB233C"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Розміщення на офіційному сайті закладу загальної середньої освіти матеріалів «Стоп </w:t>
            </w: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булінг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Колектив закладу, учні, батьки, відвідувачі сайту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Левківська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Н.А.</w:t>
            </w:r>
          </w:p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Виговська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Н.В.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DB233C" w:rsidRPr="00DB233C" w:rsidTr="00DB233C"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Розміщення інформаційних матеріалів щодо феномену </w:t>
            </w: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булінгу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(причини та наслідки), способів попередження та алгоритму дій на </w:t>
            </w: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дошці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оголошень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закладу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Вчителі,</w:t>
            </w:r>
          </w:p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учні,</w:t>
            </w:r>
          </w:p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батьки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9A2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Лютий-березень 202</w:t>
            </w:r>
            <w:r w:rsidR="009A2A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 ЗЗСО,</w:t>
            </w:r>
          </w:p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Виговська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Н.В.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DB233C" w:rsidRPr="00DB233C" w:rsidTr="00DB233C"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Загальногімна-зійні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батьківські збори. Бесіда</w:t>
            </w:r>
          </w:p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«Протидія </w:t>
            </w: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булінгу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».</w:t>
            </w:r>
          </w:p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Батьки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9A2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Грудень 20</w:t>
            </w:r>
            <w:r w:rsidR="009A2A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 ЗЗСО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DB233C" w:rsidRPr="00DB233C" w:rsidTr="00DB233C"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Заходи щодо профілактики </w:t>
            </w: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булінгу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учнівському середовищі:</w:t>
            </w:r>
          </w:p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-бесіда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Булінгу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не місце в школі»;</w:t>
            </w:r>
          </w:p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-бесіда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Кібербулінг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  та </w:t>
            </w: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тролінг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інформаційна загроза»;</w:t>
            </w:r>
          </w:p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-година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спілкування «Безпечний Інтернет»;  </w:t>
            </w: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-перегляд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відеопрезентації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«Безпека в мережі»;  перегляд </w:t>
            </w: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відеопрезентацій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Булінг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школі. Як його розпізнати»;</w:t>
            </w:r>
          </w:p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-виставка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малюнків «Добре разом із друзями»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Учні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гімназії</w:t>
            </w:r>
          </w:p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6,8 класи</w:t>
            </w:r>
          </w:p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1-8 класи</w:t>
            </w:r>
          </w:p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Учні гімназії</w:t>
            </w:r>
          </w:p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3, 4 </w:t>
            </w: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</w:tr>
      <w:tr w:rsidR="00DB233C" w:rsidRPr="00DB233C" w:rsidTr="00DB233C"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Участь у </w:t>
            </w: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Всеукраїнському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конкурсі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Безпечний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інтернет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1-8 класи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Лютий</w:t>
            </w:r>
          </w:p>
          <w:p w:rsidR="00DB233C" w:rsidRPr="00DB233C" w:rsidRDefault="00DB233C" w:rsidP="009A2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9A2A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Класні керівники,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Чижська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В.В.,</w:t>
            </w:r>
          </w:p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Виговська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Н.В.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DB233C" w:rsidRPr="00DB233C" w:rsidTr="00DB233C"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Година спілкування «Як захистити себе в </w:t>
            </w: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Інтернет-мережі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Учні, батьки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9A2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Березень 202</w:t>
            </w:r>
            <w:r w:rsidR="009A2A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Чижська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В.В.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DB233C" w:rsidRPr="00DB233C" w:rsidTr="00DB233C"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Перегляд навчальних  відеофільмів «Як розпізнати прояви </w:t>
            </w:r>
            <w:proofErr w:type="spellStart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булінгу</w:t>
            </w:r>
            <w:proofErr w:type="spellEnd"/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Вчителі, учні, батьки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9A2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Квітень 202</w:t>
            </w:r>
            <w:r w:rsidR="009A2A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33C" w:rsidRPr="00DB233C" w:rsidRDefault="00DB233C" w:rsidP="00DB2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DB233C" w:rsidRPr="00DB233C" w:rsidRDefault="00DB233C" w:rsidP="00DB233C">
      <w:pPr>
        <w:shd w:val="clear" w:color="auto" w:fill="FFFFFF"/>
        <w:spacing w:before="100" w:beforeAutospacing="1" w:after="0" w:line="600" w:lineRule="atLeast"/>
        <w:ind w:firstLine="709"/>
        <w:jc w:val="both"/>
        <w:outlineLvl w:val="1"/>
        <w:rPr>
          <w:rFonts w:ascii="Arial" w:eastAsia="Times New Roman" w:hAnsi="Arial" w:cs="Arial"/>
          <w:b/>
          <w:bCs/>
          <w:kern w:val="36"/>
          <w:sz w:val="48"/>
          <w:szCs w:val="48"/>
          <w:lang w:val="uk-UA" w:eastAsia="ru-RU"/>
        </w:rPr>
      </w:pPr>
      <w:r w:rsidRPr="00DB233C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lastRenderedPageBreak/>
        <w:t>БУЛІНГ: ЗА ДІТЕЙ ВІДПОВІДАЮТЬ БАТЬКИ</w:t>
      </w:r>
    </w:p>
    <w:p w:rsidR="00DB233C" w:rsidRPr="00DB233C" w:rsidRDefault="00DB233C" w:rsidP="00DB233C">
      <w:pPr>
        <w:shd w:val="clear" w:color="auto" w:fill="FFFFFF"/>
        <w:spacing w:before="100" w:beforeAutospacing="1" w:after="0" w:line="600" w:lineRule="atLeast"/>
        <w:ind w:firstLine="709"/>
        <w:jc w:val="both"/>
        <w:outlineLvl w:val="1"/>
        <w:rPr>
          <w:rFonts w:ascii="Arial" w:eastAsia="Times New Roman" w:hAnsi="Arial" w:cs="Arial"/>
          <w:b/>
          <w:bCs/>
          <w:kern w:val="36"/>
          <w:sz w:val="48"/>
          <w:szCs w:val="48"/>
          <w:lang w:val="uk-UA" w:eastAsia="ru-RU"/>
        </w:rPr>
      </w:pPr>
      <w:r w:rsidRPr="00DB2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Традиційно причиною батьківських нарікань і не зовсім приємних виховних моментів для того, хто не вивчив урок і отримав низьку оцінку, є двійки-трійки у щоденнику. Причин для виховних моментів побільшало відтоді, як на законодавчому рівні у нашій країні введено відповідальність за </w:t>
      </w:r>
      <w:proofErr w:type="spellStart"/>
      <w:r w:rsidRPr="00DB2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булінг</w:t>
      </w:r>
      <w:proofErr w:type="spellEnd"/>
      <w:r w:rsidRPr="00DB2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. І діти, і батьки повинні знати: </w:t>
      </w:r>
      <w:proofErr w:type="spellStart"/>
      <w:r w:rsidRPr="00DB2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булінг</w:t>
      </w:r>
      <w:proofErr w:type="spellEnd"/>
      <w:r w:rsidRPr="00DB2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– не просто зло, яке зачіпає підліткове середовище, а ще й в окремих ситуаціях привід сплатити немалий штраф. І платити його будуть батьки того, хто дозволяє собі принижувати однокласника чи товариша по школі.</w:t>
      </w:r>
    </w:p>
    <w:p w:rsidR="00DB233C" w:rsidRPr="00DB233C" w:rsidRDefault="00DB233C" w:rsidP="00DB233C">
      <w:pPr>
        <w:shd w:val="clear" w:color="auto" w:fill="FFFFFF"/>
        <w:spacing w:before="100" w:beforeAutospacing="1" w:after="0" w:line="600" w:lineRule="atLeast"/>
        <w:ind w:firstLine="709"/>
        <w:jc w:val="both"/>
        <w:outlineLvl w:val="1"/>
        <w:rPr>
          <w:rFonts w:ascii="Arial" w:eastAsia="Times New Roman" w:hAnsi="Arial" w:cs="Arial"/>
          <w:b/>
          <w:bCs/>
          <w:kern w:val="36"/>
          <w:sz w:val="48"/>
          <w:szCs w:val="48"/>
          <w:lang w:val="uk-UA" w:eastAsia="ru-RU"/>
        </w:rPr>
      </w:pPr>
      <w:r w:rsidRPr="00DB2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Реалізуючи Загальнонаціональний </w:t>
      </w:r>
      <w:proofErr w:type="spellStart"/>
      <w:r w:rsidRPr="00DB2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правопросвітницький</w:t>
      </w:r>
      <w:proofErr w:type="spellEnd"/>
      <w:r w:rsidRPr="00DB2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проект «Я МАЮ ПРАВО!», Міністерство юстиції розпочало інформаційну кампанію </w:t>
      </w:r>
      <w:r w:rsidRPr="00DB233C">
        <w:rPr>
          <w:rFonts w:ascii="Times New Roman" w:eastAsia="Times New Roman" w:hAnsi="Times New Roman" w:cs="Times New Roman"/>
          <w:b/>
          <w:bCs/>
          <w:color w:val="1D1D1B"/>
          <w:kern w:val="36"/>
          <w:sz w:val="28"/>
          <w:szCs w:val="28"/>
          <w:lang w:val="uk-UA" w:eastAsia="ru-RU"/>
        </w:rPr>
        <w:t>#</w:t>
      </w:r>
      <w:proofErr w:type="spellStart"/>
      <w:r w:rsidRPr="00DB233C">
        <w:rPr>
          <w:rFonts w:ascii="Times New Roman" w:eastAsia="Times New Roman" w:hAnsi="Times New Roman" w:cs="Times New Roman"/>
          <w:b/>
          <w:bCs/>
          <w:color w:val="1D1D1B"/>
          <w:kern w:val="36"/>
          <w:sz w:val="28"/>
          <w:szCs w:val="28"/>
          <w:lang w:val="uk-UA" w:eastAsia="ru-RU"/>
        </w:rPr>
        <w:t>СтопБулінг</w:t>
      </w:r>
      <w:proofErr w:type="spellEnd"/>
      <w:r w:rsidRPr="00DB233C">
        <w:rPr>
          <w:rFonts w:ascii="Times New Roman" w:eastAsia="Times New Roman" w:hAnsi="Times New Roman" w:cs="Times New Roman"/>
          <w:b/>
          <w:bCs/>
          <w:color w:val="1D1D1B"/>
          <w:kern w:val="36"/>
          <w:sz w:val="28"/>
          <w:szCs w:val="28"/>
          <w:lang w:val="uk-UA" w:eastAsia="ru-RU"/>
        </w:rPr>
        <w:t>,</w:t>
      </w:r>
      <w:r w:rsidRPr="00DB233C">
        <w:rPr>
          <w:rFonts w:ascii="Times New Roman" w:eastAsia="Times New Roman" w:hAnsi="Times New Roman" w:cs="Times New Roman"/>
          <w:b/>
          <w:bCs/>
          <w:color w:val="1D1D1B"/>
          <w:kern w:val="36"/>
          <w:sz w:val="48"/>
          <w:szCs w:val="48"/>
          <w:lang w:val="uk-UA" w:eastAsia="ru-RU"/>
        </w:rPr>
        <w:t> </w:t>
      </w:r>
      <w:r w:rsidRPr="00DB2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 орієнтовану на дітей та їх батьків. Питання стало наскільки актуальним, що поняття «</w:t>
      </w:r>
      <w:proofErr w:type="spellStart"/>
      <w:r w:rsidRPr="00DB2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булінг</w:t>
      </w:r>
      <w:proofErr w:type="spellEnd"/>
      <w:r w:rsidRPr="00DB2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»  визначили на законодавчому рівні та прописали у Законі України «Про освіту» та в Кодексі України про адміністративні правопорушення. Визначення зафіксовано так: «</w:t>
      </w:r>
      <w:proofErr w:type="spellStart"/>
      <w:r w:rsidRPr="00DB2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булінг</w:t>
      </w:r>
      <w:proofErr w:type="spellEnd"/>
      <w:r w:rsidRPr="00DB2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(цькування) – діяння (дії або бездіяльність) учасників освітнього процесу, які полягають у психологічному, фізичному, економічному, сексуальному насильстві, у тому числі із застосуванням засобів електронних комунікацій, що вчиняються стосовно малолітньої чи неповнолітньої особи та (або) такою особою стосовно інших учасників освітнього процесу, внаслідок чого могла бути </w:t>
      </w:r>
      <w:r w:rsidRPr="00DB2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lastRenderedPageBreak/>
        <w:t>чи була заподіяна шкода психічному або фізичному здоров’ю потерпілого».</w:t>
      </w:r>
    </w:p>
    <w:p w:rsidR="00DB233C" w:rsidRPr="00DB233C" w:rsidRDefault="00DB233C" w:rsidP="00DB233C">
      <w:pPr>
        <w:shd w:val="clear" w:color="auto" w:fill="FFFFFF"/>
        <w:spacing w:before="100" w:beforeAutospacing="1" w:after="0" w:line="600" w:lineRule="atLeast"/>
        <w:ind w:firstLine="709"/>
        <w:jc w:val="both"/>
        <w:outlineLvl w:val="1"/>
        <w:rPr>
          <w:rFonts w:ascii="Arial" w:eastAsia="Times New Roman" w:hAnsi="Arial" w:cs="Arial"/>
          <w:b/>
          <w:bCs/>
          <w:kern w:val="36"/>
          <w:sz w:val="48"/>
          <w:szCs w:val="48"/>
          <w:lang w:val="uk-UA" w:eastAsia="ru-RU"/>
        </w:rPr>
      </w:pPr>
      <w:r w:rsidRPr="00DB2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У Кодекс додано статтю 173</w:t>
      </w:r>
      <w:r w:rsidRPr="00DB2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vertAlign w:val="superscript"/>
          <w:lang w:val="uk-UA" w:eastAsia="ru-RU"/>
        </w:rPr>
        <w:t>4</w:t>
      </w:r>
      <w:r w:rsidRPr="00DB23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> </w:t>
      </w:r>
      <w:r w:rsidRPr="00DB2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про відповідальність за вчинення </w:t>
      </w:r>
      <w:proofErr w:type="spellStart"/>
      <w:r w:rsidRPr="00DB2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булінгу</w:t>
      </w:r>
      <w:proofErr w:type="spellEnd"/>
      <w:r w:rsidRPr="00DB2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, яка називається «</w:t>
      </w:r>
      <w:proofErr w:type="spellStart"/>
      <w:r w:rsidRPr="00DB2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Булінг</w:t>
      </w:r>
      <w:proofErr w:type="spellEnd"/>
      <w:r w:rsidRPr="00DB2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(цькування) учасника освітнього процесу». В ній зазначено, що </w:t>
      </w:r>
      <w:proofErr w:type="spellStart"/>
      <w:r w:rsidRPr="00DB2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булерів</w:t>
      </w:r>
      <w:proofErr w:type="spellEnd"/>
      <w:r w:rsidRPr="00DB2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(так назвали тих, хто здійснює </w:t>
      </w:r>
      <w:proofErr w:type="spellStart"/>
      <w:r w:rsidRPr="00DB2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булінг</w:t>
      </w:r>
      <w:proofErr w:type="spellEnd"/>
      <w:r w:rsidRPr="00DB2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) або їх батьків варто штрафувати або виправляти громадськими роботи.</w:t>
      </w:r>
    </w:p>
    <w:p w:rsidR="00DB233C" w:rsidRPr="00DB233C" w:rsidRDefault="00DB233C" w:rsidP="00DB233C">
      <w:pPr>
        <w:shd w:val="clear" w:color="auto" w:fill="FFFFFF"/>
        <w:spacing w:before="100" w:beforeAutospacing="1" w:after="0" w:line="600" w:lineRule="atLeast"/>
        <w:ind w:firstLine="709"/>
        <w:jc w:val="both"/>
        <w:outlineLvl w:val="1"/>
        <w:rPr>
          <w:rFonts w:ascii="Arial" w:eastAsia="Times New Roman" w:hAnsi="Arial" w:cs="Arial"/>
          <w:b/>
          <w:bCs/>
          <w:kern w:val="36"/>
          <w:sz w:val="48"/>
          <w:szCs w:val="48"/>
          <w:lang w:val="uk-UA" w:eastAsia="ru-RU"/>
        </w:rPr>
      </w:pPr>
      <w:r w:rsidRPr="00DB2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За </w:t>
      </w:r>
      <w:proofErr w:type="spellStart"/>
      <w:r w:rsidRPr="00DB2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булінг</w:t>
      </w:r>
      <w:proofErr w:type="spellEnd"/>
      <w:r w:rsidRPr="00DB2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, вчинений дітьми до 16-ти років, відповідають батьки або опікуни. За перший випадок </w:t>
      </w:r>
      <w:proofErr w:type="spellStart"/>
      <w:r w:rsidRPr="00DB2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булінгу</w:t>
      </w:r>
      <w:proofErr w:type="spellEnd"/>
      <w:r w:rsidRPr="00DB2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– від 850 до 1700 гривень штрафу або громадські роботи на термін від 20 до 40 годин. За повторне цькування або </w:t>
      </w:r>
      <w:proofErr w:type="spellStart"/>
      <w:r w:rsidRPr="00DB2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булінг</w:t>
      </w:r>
      <w:proofErr w:type="spellEnd"/>
      <w:r w:rsidRPr="00DB2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, вчинене групою осіб від 1700 до 3400 гривень штрафу або громадські роботи терміном від 40 до 60 годин.</w:t>
      </w:r>
    </w:p>
    <w:p w:rsidR="00DB233C" w:rsidRPr="00DB233C" w:rsidRDefault="00DB233C" w:rsidP="00DB233C">
      <w:pPr>
        <w:shd w:val="clear" w:color="auto" w:fill="FFFFFF"/>
        <w:spacing w:before="100" w:beforeAutospacing="1" w:after="0" w:line="600" w:lineRule="atLeast"/>
        <w:ind w:firstLine="709"/>
        <w:jc w:val="both"/>
        <w:outlineLvl w:val="1"/>
        <w:rPr>
          <w:rFonts w:ascii="Arial" w:eastAsia="Times New Roman" w:hAnsi="Arial" w:cs="Arial"/>
          <w:b/>
          <w:bCs/>
          <w:kern w:val="36"/>
          <w:sz w:val="48"/>
          <w:szCs w:val="48"/>
          <w:lang w:val="uk-UA" w:eastAsia="ru-RU"/>
        </w:rPr>
      </w:pPr>
      <w:r w:rsidRPr="00DB2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Справді ж, потрібно задуматися, перш ніж цькувати невисокого хлопчика чи знущатися із дівчинки з рудими кісками? «Не руйнуй невідомий світ, бо для когось і твій знайомий – невідомий»,- зазначила у своєму творі </w:t>
      </w:r>
      <w:proofErr w:type="spellStart"/>
      <w:r w:rsidRPr="00DB2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Мікус</w:t>
      </w:r>
      <w:proofErr w:type="spellEnd"/>
      <w:r w:rsidRPr="00DB2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Марія, юна журналістка з Хмельниччини, одна з переможниць конкурсу Юстиції Сумщини #</w:t>
      </w:r>
      <w:proofErr w:type="spellStart"/>
      <w:r w:rsidRPr="00DB2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БулитиНеКруто</w:t>
      </w:r>
      <w:proofErr w:type="spellEnd"/>
      <w:r w:rsidRPr="00DB2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.</w:t>
      </w:r>
    </w:p>
    <w:p w:rsidR="00DB233C" w:rsidRPr="00DB233C" w:rsidRDefault="00DB233C" w:rsidP="00DB233C">
      <w:pPr>
        <w:shd w:val="clear" w:color="auto" w:fill="FFFFFF"/>
        <w:spacing w:before="100" w:beforeAutospacing="1" w:after="0" w:line="600" w:lineRule="atLeast"/>
        <w:ind w:firstLine="709"/>
        <w:jc w:val="both"/>
        <w:outlineLvl w:val="1"/>
        <w:rPr>
          <w:rFonts w:ascii="Arial" w:eastAsia="Times New Roman" w:hAnsi="Arial" w:cs="Arial"/>
          <w:b/>
          <w:bCs/>
          <w:kern w:val="36"/>
          <w:sz w:val="48"/>
          <w:szCs w:val="48"/>
          <w:lang w:val="uk-UA" w:eastAsia="ru-RU"/>
        </w:rPr>
      </w:pPr>
      <w:r w:rsidRPr="00DB2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До речі, в Україні вже є судові рішення щодо </w:t>
      </w:r>
      <w:proofErr w:type="spellStart"/>
      <w:r w:rsidRPr="00DB2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булінгу</w:t>
      </w:r>
      <w:proofErr w:type="spellEnd"/>
      <w:r w:rsidRPr="00DB2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. Перше прийняте у лютому цього року на Київщині, за цькування батьків винної особи зобов’язали сплатити штраф. </w:t>
      </w:r>
    </w:p>
    <w:p w:rsidR="00DB233C" w:rsidRPr="00DB233C" w:rsidRDefault="00DB233C" w:rsidP="00DB233C">
      <w:pPr>
        <w:shd w:val="clear" w:color="auto" w:fill="FFFFFF"/>
        <w:spacing w:after="150" w:line="288" w:lineRule="atLeast"/>
        <w:outlineLvl w:val="1"/>
        <w:rPr>
          <w:rFonts w:ascii="Arial" w:eastAsia="Times New Roman" w:hAnsi="Arial" w:cs="Arial"/>
          <w:color w:val="333333"/>
          <w:kern w:val="36"/>
          <w:sz w:val="21"/>
          <w:szCs w:val="21"/>
          <w:lang w:val="uk-UA" w:eastAsia="ru-RU"/>
        </w:rPr>
      </w:pPr>
    </w:p>
    <w:p w:rsidR="00DB233C" w:rsidRDefault="00DB233C" w:rsidP="00DB233C">
      <w:pPr>
        <w:shd w:val="clear" w:color="auto" w:fill="FFFFFF"/>
        <w:spacing w:after="150" w:line="288" w:lineRule="atLeast"/>
        <w:outlineLvl w:val="1"/>
        <w:rPr>
          <w:rFonts w:ascii="Times New Roman" w:eastAsia="Times New Roman" w:hAnsi="Times New Roman" w:cs="Times New Roman"/>
          <w:b/>
          <w:bCs/>
          <w:color w:val="FF0000"/>
          <w:kern w:val="36"/>
          <w:sz w:val="27"/>
          <w:szCs w:val="27"/>
          <w:lang w:val="uk-UA" w:eastAsia="ru-RU"/>
        </w:rPr>
      </w:pPr>
    </w:p>
    <w:p w:rsidR="00DB233C" w:rsidRDefault="00DB233C" w:rsidP="00DB233C">
      <w:pPr>
        <w:shd w:val="clear" w:color="auto" w:fill="FFFFFF"/>
        <w:spacing w:after="150" w:line="288" w:lineRule="atLeast"/>
        <w:outlineLvl w:val="1"/>
        <w:rPr>
          <w:rFonts w:ascii="Times New Roman" w:eastAsia="Times New Roman" w:hAnsi="Times New Roman" w:cs="Times New Roman"/>
          <w:b/>
          <w:bCs/>
          <w:color w:val="FF0000"/>
          <w:kern w:val="36"/>
          <w:sz w:val="27"/>
          <w:szCs w:val="27"/>
          <w:lang w:val="uk-UA" w:eastAsia="ru-RU"/>
        </w:rPr>
      </w:pPr>
    </w:p>
    <w:p w:rsidR="00DB233C" w:rsidRPr="00DB233C" w:rsidRDefault="00DB233C" w:rsidP="00DB233C">
      <w:pPr>
        <w:shd w:val="clear" w:color="auto" w:fill="FFFFFF"/>
        <w:spacing w:after="150" w:line="288" w:lineRule="atLeast"/>
        <w:outlineLvl w:val="1"/>
        <w:rPr>
          <w:rFonts w:ascii="Arial" w:eastAsia="Times New Roman" w:hAnsi="Arial" w:cs="Arial"/>
          <w:b/>
          <w:bCs/>
          <w:kern w:val="36"/>
          <w:sz w:val="48"/>
          <w:szCs w:val="48"/>
          <w:lang w:val="uk-UA" w:eastAsia="ru-RU"/>
        </w:rPr>
      </w:pPr>
      <w:r w:rsidRPr="00DB233C">
        <w:rPr>
          <w:rFonts w:ascii="Times New Roman" w:eastAsia="Times New Roman" w:hAnsi="Times New Roman" w:cs="Times New Roman"/>
          <w:b/>
          <w:bCs/>
          <w:color w:val="FF0000"/>
          <w:kern w:val="36"/>
          <w:sz w:val="27"/>
          <w:szCs w:val="27"/>
          <w:lang w:val="uk-UA" w:eastAsia="ru-RU"/>
        </w:rPr>
        <w:lastRenderedPageBreak/>
        <w:t xml:space="preserve">Нормативно-правові документи з питань запобігання, протидії домашньому насильству та </w:t>
      </w:r>
      <w:proofErr w:type="spellStart"/>
      <w:r w:rsidRPr="00DB233C">
        <w:rPr>
          <w:rFonts w:ascii="Times New Roman" w:eastAsia="Times New Roman" w:hAnsi="Times New Roman" w:cs="Times New Roman"/>
          <w:b/>
          <w:bCs/>
          <w:color w:val="FF0000"/>
          <w:kern w:val="36"/>
          <w:sz w:val="27"/>
          <w:szCs w:val="27"/>
          <w:lang w:val="uk-UA" w:eastAsia="ru-RU"/>
        </w:rPr>
        <w:t>булінгу</w:t>
      </w:r>
      <w:proofErr w:type="spellEnd"/>
    </w:p>
    <w:p w:rsidR="00DB233C" w:rsidRPr="00DB233C" w:rsidRDefault="00971176" w:rsidP="00DB233C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hyperlink r:id="rId4" w:history="1">
        <w:r w:rsidR="00DB233C" w:rsidRPr="00DB233C">
          <w:rPr>
            <w:rFonts w:ascii="Times New Roman" w:eastAsia="Times New Roman" w:hAnsi="Times New Roman" w:cs="Times New Roman"/>
            <w:color w:val="0000FF"/>
            <w:kern w:val="36"/>
            <w:sz w:val="28"/>
            <w:u w:val="single"/>
            <w:lang w:val="uk-UA" w:eastAsia="ru-RU"/>
          </w:rPr>
          <w:t>Постанова КМ України в «Про затвердження порядку взаємодії суб`єктів, що здійснюють заходи у сфері запобігання та протидії домашньому насильству та насильству за ознакою статі» від 22.08.2018. №658</w:t>
        </w:r>
      </w:hyperlink>
    </w:p>
    <w:p w:rsidR="00DB233C" w:rsidRPr="00DB233C" w:rsidRDefault="00971176" w:rsidP="00DB233C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hyperlink r:id="rId5" w:history="1">
        <w:r w:rsidR="00DB233C" w:rsidRPr="00DB233C">
          <w:rPr>
            <w:rFonts w:ascii="Times New Roman" w:eastAsia="Times New Roman" w:hAnsi="Times New Roman" w:cs="Times New Roman"/>
            <w:color w:val="0000FF"/>
            <w:kern w:val="36"/>
            <w:sz w:val="28"/>
            <w:u w:val="single"/>
            <w:lang w:val="uk-UA" w:eastAsia="ru-RU"/>
          </w:rPr>
          <w:t>Наказ МОН України від 02.10.2018 № 1047 «Про затвердження Методичних рекомендації щодо виявлення, реагування на випадки домашнього насильства і взаємодії педагогічних працівників із іншими органами та службами»</w:t>
        </w:r>
      </w:hyperlink>
    </w:p>
    <w:p w:rsidR="00DB233C" w:rsidRPr="00DB233C" w:rsidRDefault="00971176" w:rsidP="00DB233C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hyperlink r:id="rId6" w:history="1">
        <w:r w:rsidR="00DB233C" w:rsidRPr="00DB233C">
          <w:rPr>
            <w:rFonts w:ascii="Times New Roman" w:eastAsia="Times New Roman" w:hAnsi="Times New Roman" w:cs="Times New Roman"/>
            <w:color w:val="0000FF"/>
            <w:kern w:val="36"/>
            <w:sz w:val="28"/>
            <w:u w:val="single"/>
            <w:lang w:val="uk-UA" w:eastAsia="ru-RU"/>
          </w:rPr>
          <w:t>Лист МОН України від 18.05.2018 № 1/11-5480 «Методичні рекомендації щодо запобігання та протидії насильству»</w:t>
        </w:r>
      </w:hyperlink>
    </w:p>
    <w:p w:rsidR="00DB233C" w:rsidRPr="00DB233C" w:rsidRDefault="00971176" w:rsidP="00DB233C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hyperlink r:id="rId7" w:history="1">
        <w:r w:rsidR="00DB233C" w:rsidRPr="00DB233C">
          <w:rPr>
            <w:rFonts w:ascii="Times New Roman" w:eastAsia="Times New Roman" w:hAnsi="Times New Roman" w:cs="Times New Roman"/>
            <w:color w:val="0000FF"/>
            <w:kern w:val="36"/>
            <w:sz w:val="28"/>
            <w:u w:val="single"/>
            <w:lang w:val="uk-UA" w:eastAsia="ru-RU"/>
          </w:rPr>
          <w:t xml:space="preserve">Лист МОН України від29.12.2018 № 1/9-790 «Щодо організації роботи у закладах освіти з питань запобігання і протидії домашньому насильству та </w:t>
        </w:r>
        <w:proofErr w:type="spellStart"/>
        <w:r w:rsidR="00DB233C" w:rsidRPr="00DB233C">
          <w:rPr>
            <w:rFonts w:ascii="Times New Roman" w:eastAsia="Times New Roman" w:hAnsi="Times New Roman" w:cs="Times New Roman"/>
            <w:color w:val="0000FF"/>
            <w:kern w:val="36"/>
            <w:sz w:val="28"/>
            <w:u w:val="single"/>
            <w:lang w:val="uk-UA" w:eastAsia="ru-RU"/>
          </w:rPr>
          <w:t>булінгу</w:t>
        </w:r>
        <w:proofErr w:type="spellEnd"/>
        <w:r w:rsidR="00DB233C" w:rsidRPr="00DB233C">
          <w:rPr>
            <w:rFonts w:ascii="Times New Roman" w:eastAsia="Times New Roman" w:hAnsi="Times New Roman" w:cs="Times New Roman"/>
            <w:color w:val="0000FF"/>
            <w:kern w:val="36"/>
            <w:sz w:val="28"/>
            <w:u w:val="single"/>
            <w:lang w:val="uk-UA" w:eastAsia="ru-RU"/>
          </w:rPr>
          <w:t>»</w:t>
        </w:r>
      </w:hyperlink>
    </w:p>
    <w:p w:rsidR="00DB233C" w:rsidRPr="00DB233C" w:rsidRDefault="00971176" w:rsidP="00DB233C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hyperlink r:id="rId8" w:history="1">
        <w:r w:rsidR="00DB233C" w:rsidRPr="00DB233C">
          <w:rPr>
            <w:rFonts w:ascii="Times New Roman" w:eastAsia="Times New Roman" w:hAnsi="Times New Roman" w:cs="Times New Roman"/>
            <w:color w:val="0000FF"/>
            <w:kern w:val="36"/>
            <w:sz w:val="28"/>
            <w:u w:val="single"/>
            <w:lang w:val="uk-UA" w:eastAsia="ru-RU"/>
          </w:rPr>
          <w:t xml:space="preserve">Закон України від 18.12.2019 року № 2657-VIII «Про внесення змін до деяких законодавчих актів України щодо протидії </w:t>
        </w:r>
        <w:proofErr w:type="spellStart"/>
        <w:r w:rsidR="00DB233C" w:rsidRPr="00DB233C">
          <w:rPr>
            <w:rFonts w:ascii="Times New Roman" w:eastAsia="Times New Roman" w:hAnsi="Times New Roman" w:cs="Times New Roman"/>
            <w:color w:val="0000FF"/>
            <w:kern w:val="36"/>
            <w:sz w:val="28"/>
            <w:u w:val="single"/>
            <w:lang w:val="uk-UA" w:eastAsia="ru-RU"/>
          </w:rPr>
          <w:t>булінгу</w:t>
        </w:r>
        <w:proofErr w:type="spellEnd"/>
        <w:r w:rsidR="00DB233C" w:rsidRPr="00DB233C">
          <w:rPr>
            <w:rFonts w:ascii="Times New Roman" w:eastAsia="Times New Roman" w:hAnsi="Times New Roman" w:cs="Times New Roman"/>
            <w:color w:val="0000FF"/>
            <w:kern w:val="36"/>
            <w:sz w:val="28"/>
            <w:u w:val="single"/>
            <w:lang w:val="uk-UA" w:eastAsia="ru-RU"/>
          </w:rPr>
          <w:t xml:space="preserve"> (цькуванню)»</w:t>
        </w:r>
      </w:hyperlink>
    </w:p>
    <w:p w:rsidR="00DB233C" w:rsidRPr="00DB233C" w:rsidRDefault="00DB233C" w:rsidP="00DB233C">
      <w:pPr>
        <w:spacing w:after="0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 w:rsidRPr="00DB233C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val="uk-UA" w:eastAsia="ru-RU"/>
        </w:rPr>
        <w:t>Наказ МОН України від 28.12.2019 №1646 </w:t>
      </w:r>
      <w:r w:rsidRPr="00DB233C">
        <w:rPr>
          <w:rFonts w:ascii="Times New Roman" w:eastAsia="Times New Roman" w:hAnsi="Times New Roman" w:cs="Times New Roman"/>
          <w:kern w:val="36"/>
          <w:sz w:val="36"/>
          <w:szCs w:val="36"/>
          <w:lang w:val="uk-UA" w:eastAsia="ru-RU"/>
        </w:rPr>
        <w:t> </w:t>
      </w:r>
      <w:proofErr w:type="spellStart"/>
      <w:r w:rsidRPr="00DB233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uk-UA" w:eastAsia="ru-RU"/>
        </w:rPr>
        <w:t>''Деякі</w:t>
      </w:r>
      <w:proofErr w:type="spellEnd"/>
      <w:r w:rsidRPr="00DB233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uk-UA" w:eastAsia="ru-RU"/>
        </w:rPr>
        <w:t> питання реагування на випадки </w:t>
      </w:r>
      <w:proofErr w:type="spellStart"/>
      <w:r w:rsidRPr="00DB233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uk-UA" w:eastAsia="ru-RU"/>
        </w:rPr>
        <w:t>булінгу</w:t>
      </w:r>
      <w:proofErr w:type="spellEnd"/>
      <w:r w:rsidRPr="00DB233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uk-UA" w:eastAsia="ru-RU"/>
        </w:rPr>
        <w:t> (цькування) та застосування заходів виховного впливу в закладах </w:t>
      </w:r>
      <w:proofErr w:type="spellStart"/>
      <w:r w:rsidRPr="00DB233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uk-UA" w:eastAsia="ru-RU"/>
        </w:rPr>
        <w:t>освіти''</w:t>
      </w:r>
      <w:proofErr w:type="spellEnd"/>
      <w:r w:rsidRPr="00DB233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uk-UA" w:eastAsia="ru-RU"/>
        </w:rPr>
        <w:t> </w:t>
      </w:r>
    </w:p>
    <w:p w:rsidR="00DB233C" w:rsidRPr="00DB233C" w:rsidRDefault="00971176" w:rsidP="00DB233C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hyperlink r:id="rId9" w:history="1">
        <w:r w:rsidR="00DB233C" w:rsidRPr="00DB233C">
          <w:rPr>
            <w:rFonts w:ascii="Times New Roman" w:eastAsia="Times New Roman" w:hAnsi="Times New Roman" w:cs="Times New Roman"/>
            <w:color w:val="0000FF"/>
            <w:kern w:val="36"/>
            <w:sz w:val="28"/>
            <w:u w:val="single"/>
            <w:lang w:val="uk-UA" w:eastAsia="ru-RU"/>
          </w:rPr>
          <w:t>Наказ Міністерства соціальної політики України, Міністерства внутрішніх справ України, Міністерства освіти і науки України, Міністерства охорони здоров`я України від 19.08.2014 №564/836/945/577 «Про затвердження Порядку розгляду звернень та повідомлень з приводу жорстокого поводження з дітьми або реальної загрози його вчинення»</w:t>
        </w:r>
      </w:hyperlink>
    </w:p>
    <w:p w:rsidR="00DB233C" w:rsidRPr="00DB233C" w:rsidRDefault="00971176" w:rsidP="00DB233C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hyperlink r:id="rId10" w:history="1">
        <w:r w:rsidR="00DB233C" w:rsidRPr="00DB233C">
          <w:rPr>
            <w:rFonts w:ascii="Times New Roman" w:eastAsia="Times New Roman" w:hAnsi="Times New Roman" w:cs="Times New Roman"/>
            <w:color w:val="0000FF"/>
            <w:kern w:val="36"/>
            <w:sz w:val="28"/>
            <w:u w:val="single"/>
            <w:lang w:val="uk-UA" w:eastAsia="ru-RU"/>
          </w:rPr>
          <w:t>Лист Міністерства освіти і науки України від 28.10.2014 № 1/9-557 «Методичні рекомендації щодо взаємодії педагогічних працівників у навчальни</w:t>
        </w:r>
      </w:hyperlink>
      <w:hyperlink r:id="rId11" w:history="1">
        <w:r w:rsidR="00DB233C" w:rsidRPr="00DB233C">
          <w:rPr>
            <w:rFonts w:ascii="Times New Roman" w:eastAsia="Times New Roman" w:hAnsi="Times New Roman" w:cs="Times New Roman"/>
            <w:color w:val="0000FF"/>
            <w:kern w:val="36"/>
            <w:sz w:val="28"/>
            <w:u w:val="single"/>
            <w:lang w:val="uk-UA" w:eastAsia="ru-RU"/>
          </w:rPr>
          <w:t>х закладах та взаємодії з іншими органами і службами щодо захисту прав дітей»</w:t>
        </w:r>
      </w:hyperlink>
    </w:p>
    <w:p w:rsidR="00DB233C" w:rsidRPr="00DB233C" w:rsidRDefault="00DB233C" w:rsidP="00DB233C">
      <w:pPr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 w:rsidRPr="00DB233C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shd w:val="clear" w:color="auto" w:fill="FFFFFF"/>
          <w:lang w:val="uk-UA" w:eastAsia="ru-RU"/>
        </w:rPr>
        <w:t>Закон України від 05.09.2017 № 2145-VІІІ «Про освіту»</w:t>
      </w:r>
    </w:p>
    <w:p w:rsidR="00DB233C" w:rsidRPr="00DB233C" w:rsidRDefault="00DB233C" w:rsidP="00DB233C">
      <w:pPr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</w:p>
    <w:p w:rsidR="00DB233C" w:rsidRPr="00DB233C" w:rsidRDefault="00DB233C" w:rsidP="00DB233C">
      <w:pPr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</w:p>
    <w:p w:rsidR="00DB233C" w:rsidRPr="00BE5FB5" w:rsidRDefault="00971176" w:rsidP="00BE5FB5">
      <w:pPr>
        <w:shd w:val="clear" w:color="auto" w:fill="FFFFFF"/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hyperlink r:id="rId12" w:history="1">
        <w:r w:rsidR="00DB233C" w:rsidRPr="00DB233C">
          <w:rPr>
            <w:rFonts w:ascii="Times New Roman" w:eastAsia="Times New Roman" w:hAnsi="Times New Roman" w:cs="Times New Roman"/>
            <w:color w:val="0000FF"/>
            <w:kern w:val="36"/>
            <w:sz w:val="28"/>
            <w:u w:val="single"/>
            <w:lang w:val="uk-UA" w:eastAsia="ru-RU"/>
          </w:rPr>
          <w:t xml:space="preserve">Корисні посилання щодо теми </w:t>
        </w:r>
        <w:proofErr w:type="spellStart"/>
        <w:r w:rsidR="00DB233C" w:rsidRPr="00DB233C">
          <w:rPr>
            <w:rFonts w:ascii="Times New Roman" w:eastAsia="Times New Roman" w:hAnsi="Times New Roman" w:cs="Times New Roman"/>
            <w:color w:val="0000FF"/>
            <w:kern w:val="36"/>
            <w:sz w:val="28"/>
            <w:u w:val="single"/>
            <w:lang w:val="uk-UA" w:eastAsia="ru-RU"/>
          </w:rPr>
          <w:t>антибулінгу</w:t>
        </w:r>
        <w:proofErr w:type="spellEnd"/>
        <w:r w:rsidR="00DB233C" w:rsidRPr="00DB233C">
          <w:rPr>
            <w:rFonts w:ascii="Times New Roman" w:eastAsia="Times New Roman" w:hAnsi="Times New Roman" w:cs="Times New Roman"/>
            <w:color w:val="0000FF"/>
            <w:kern w:val="36"/>
            <w:sz w:val="28"/>
            <w:u w:val="single"/>
            <w:lang w:val="uk-UA" w:eastAsia="ru-RU"/>
          </w:rPr>
          <w:t xml:space="preserve"> на сайті МОН України</w:t>
        </w:r>
      </w:hyperlink>
    </w:p>
    <w:p w:rsidR="00BE5FB5" w:rsidRDefault="00BE5FB5" w:rsidP="00DB233C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56CC5E"/>
          <w:kern w:val="36"/>
          <w:sz w:val="28"/>
          <w:szCs w:val="28"/>
          <w:lang w:val="uk-UA" w:eastAsia="ru-RU"/>
        </w:rPr>
      </w:pPr>
    </w:p>
    <w:p w:rsidR="00DB233C" w:rsidRPr="00DB233C" w:rsidRDefault="00971176" w:rsidP="00DB233C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hyperlink r:id="rId13" w:history="1">
        <w:r w:rsidR="00DB233C" w:rsidRPr="00DB233C">
          <w:rPr>
            <w:rFonts w:ascii="Times New Roman" w:eastAsia="Times New Roman" w:hAnsi="Times New Roman" w:cs="Times New Roman"/>
            <w:color w:val="0000FF"/>
            <w:kern w:val="36"/>
            <w:sz w:val="28"/>
            <w:u w:val="single"/>
            <w:lang w:eastAsia="ru-RU"/>
          </w:rPr>
          <w:t xml:space="preserve">Буклет </w:t>
        </w:r>
        <w:proofErr w:type="spellStart"/>
        <w:r w:rsidR="00DB233C" w:rsidRPr="00DB233C">
          <w:rPr>
            <w:rFonts w:ascii="Times New Roman" w:eastAsia="Times New Roman" w:hAnsi="Times New Roman" w:cs="Times New Roman"/>
            <w:color w:val="0000FF"/>
            <w:kern w:val="36"/>
            <w:sz w:val="28"/>
            <w:u w:val="single"/>
            <w:lang w:eastAsia="ru-RU"/>
          </w:rPr>
          <w:t>булінг</w:t>
        </w:r>
        <w:proofErr w:type="spellEnd"/>
      </w:hyperlink>
    </w:p>
    <w:p w:rsidR="00DB233C" w:rsidRPr="00DB233C" w:rsidRDefault="00DB233C" w:rsidP="00DB233C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p w:rsidR="00DB233C" w:rsidRPr="00DB233C" w:rsidRDefault="00DB233C" w:rsidP="00DB233C">
      <w:pPr>
        <w:spacing w:before="100" w:beforeAutospacing="1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val="uk-UA" w:eastAsia="ru-RU"/>
        </w:rPr>
      </w:pPr>
      <w:bookmarkStart w:id="0" w:name="TOC-:1.-.2.-.3.-.4.-.-.-1.-.2.-:-.-:-.3."/>
      <w:bookmarkEnd w:id="0"/>
      <w:r w:rsidRPr="00DB23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shd w:val="clear" w:color="auto" w:fill="FFFFFF"/>
          <w:lang w:val="uk-UA" w:eastAsia="ru-RU"/>
        </w:rPr>
        <w:t xml:space="preserve">Алгоритм дій при виявленні </w:t>
      </w:r>
      <w:proofErr w:type="spellStart"/>
      <w:r w:rsidRPr="00DB23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shd w:val="clear" w:color="auto" w:fill="FFFFFF"/>
          <w:lang w:val="uk-UA" w:eastAsia="ru-RU"/>
        </w:rPr>
        <w:t>булінгу</w:t>
      </w:r>
      <w:proofErr w:type="spellEnd"/>
      <w:r w:rsidRPr="00DB23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shd w:val="clear" w:color="auto" w:fill="FFFFFF"/>
          <w:lang w:val="uk-UA" w:eastAsia="ru-RU"/>
        </w:rPr>
        <w:t xml:space="preserve"> відносно дитини:</w:t>
      </w:r>
    </w:p>
    <w:p w:rsidR="00DB233C" w:rsidRPr="00DB233C" w:rsidRDefault="00DB233C" w:rsidP="00DB233C">
      <w:pPr>
        <w:spacing w:before="100" w:beforeAutospacing="1" w:after="100" w:afterAutospacing="1" w:line="288" w:lineRule="atLeas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val="uk-UA" w:eastAsia="ru-RU"/>
        </w:rPr>
      </w:pPr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>1.</w:t>
      </w:r>
      <w:r w:rsidRPr="00DB233C">
        <w:rPr>
          <w:rFonts w:ascii="Times New Roman" w:eastAsia="Times New Roman" w:hAnsi="Times New Roman" w:cs="Times New Roman"/>
          <w:kern w:val="36"/>
          <w:sz w:val="14"/>
          <w:szCs w:val="14"/>
          <w:shd w:val="clear" w:color="auto" w:fill="FFFFFF"/>
          <w:lang w:val="uk-UA" w:eastAsia="ru-RU"/>
        </w:rPr>
        <w:t>      </w:t>
      </w:r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>Подати заяву до навчального закладу про те, що вашу дитину цькують.</w:t>
      </w:r>
    </w:p>
    <w:p w:rsidR="00DB233C" w:rsidRPr="00DB233C" w:rsidRDefault="00DB233C" w:rsidP="00DB233C">
      <w:pPr>
        <w:spacing w:before="100" w:beforeAutospacing="1" w:after="100" w:afterAutospacing="1" w:line="288" w:lineRule="atLeas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val="uk-UA" w:eastAsia="ru-RU"/>
        </w:rPr>
      </w:pPr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>2.</w:t>
      </w:r>
      <w:r w:rsidRPr="00DB233C">
        <w:rPr>
          <w:rFonts w:ascii="Times New Roman" w:eastAsia="Times New Roman" w:hAnsi="Times New Roman" w:cs="Times New Roman"/>
          <w:kern w:val="36"/>
          <w:sz w:val="14"/>
          <w:szCs w:val="14"/>
          <w:shd w:val="clear" w:color="auto" w:fill="FFFFFF"/>
          <w:lang w:val="uk-UA" w:eastAsia="ru-RU"/>
        </w:rPr>
        <w:t>      </w:t>
      </w:r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>Подати заву до поліції.</w:t>
      </w:r>
    </w:p>
    <w:p w:rsidR="00DB233C" w:rsidRPr="00DB233C" w:rsidRDefault="00DB233C" w:rsidP="00DB233C">
      <w:pPr>
        <w:spacing w:before="100" w:beforeAutospacing="1" w:after="100" w:afterAutospacing="1" w:line="288" w:lineRule="atLeas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val="uk-UA" w:eastAsia="ru-RU"/>
        </w:rPr>
      </w:pPr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>3.</w:t>
      </w:r>
      <w:r w:rsidRPr="00DB233C">
        <w:rPr>
          <w:rFonts w:ascii="Times New Roman" w:eastAsia="Times New Roman" w:hAnsi="Times New Roman" w:cs="Times New Roman"/>
          <w:kern w:val="36"/>
          <w:sz w:val="14"/>
          <w:szCs w:val="14"/>
          <w:shd w:val="clear" w:color="auto" w:fill="FFFFFF"/>
          <w:lang w:val="uk-UA" w:eastAsia="ru-RU"/>
        </w:rPr>
        <w:t>      </w:t>
      </w:r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>Зафіксувати наявність матеріальних збитків, завданих дитині.</w:t>
      </w:r>
    </w:p>
    <w:p w:rsidR="00DB233C" w:rsidRPr="00DB233C" w:rsidRDefault="00DB233C" w:rsidP="00DB233C">
      <w:pPr>
        <w:spacing w:before="100" w:beforeAutospacing="1" w:after="100" w:afterAutospacing="1" w:line="288" w:lineRule="atLeas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val="uk-UA" w:eastAsia="ru-RU"/>
        </w:rPr>
      </w:pPr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>4.</w:t>
      </w:r>
      <w:r w:rsidRPr="00DB233C">
        <w:rPr>
          <w:rFonts w:ascii="Times New Roman" w:eastAsia="Times New Roman" w:hAnsi="Times New Roman" w:cs="Times New Roman"/>
          <w:kern w:val="36"/>
          <w:sz w:val="14"/>
          <w:szCs w:val="14"/>
          <w:shd w:val="clear" w:color="auto" w:fill="FFFFFF"/>
          <w:lang w:val="uk-UA" w:eastAsia="ru-RU"/>
        </w:rPr>
        <w:t>      </w:t>
      </w:r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 xml:space="preserve">Звернутися до лікарів та до </w:t>
      </w:r>
      <w:proofErr w:type="spellStart"/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>психилогів</w:t>
      </w:r>
      <w:proofErr w:type="spellEnd"/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>, які підтвердять той факт, що ваша дитина потерпає від знущань.</w:t>
      </w:r>
    </w:p>
    <w:p w:rsidR="00DB233C" w:rsidRPr="00DB233C" w:rsidRDefault="00DB233C" w:rsidP="00DB233C">
      <w:pPr>
        <w:spacing w:before="100" w:beforeAutospacing="1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val="uk-UA" w:eastAsia="ru-RU"/>
        </w:rPr>
      </w:pPr>
      <w:r w:rsidRPr="00DB23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shd w:val="clear" w:color="auto" w:fill="FFFFFF"/>
          <w:lang w:val="uk-UA" w:eastAsia="ru-RU"/>
        </w:rPr>
        <w:t> </w:t>
      </w:r>
    </w:p>
    <w:p w:rsidR="00DB233C" w:rsidRPr="00DB233C" w:rsidRDefault="00DB233C" w:rsidP="00DB233C">
      <w:pPr>
        <w:spacing w:before="100" w:beforeAutospacing="1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val="uk-UA" w:eastAsia="ru-RU"/>
        </w:rPr>
      </w:pPr>
      <w:r w:rsidRPr="00DB23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shd w:val="clear" w:color="auto" w:fill="FFFFFF"/>
          <w:lang w:val="uk-UA" w:eastAsia="ru-RU"/>
        </w:rPr>
        <w:t xml:space="preserve">Процедура подання заяви про випадок </w:t>
      </w:r>
      <w:proofErr w:type="spellStart"/>
      <w:r w:rsidRPr="00DB23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shd w:val="clear" w:color="auto" w:fill="FFFFFF"/>
          <w:lang w:val="uk-UA" w:eastAsia="ru-RU"/>
        </w:rPr>
        <w:t>булінгу</w:t>
      </w:r>
      <w:proofErr w:type="spellEnd"/>
      <w:r w:rsidRPr="00DB23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shd w:val="clear" w:color="auto" w:fill="FFFFFF"/>
          <w:lang w:val="uk-UA" w:eastAsia="ru-RU"/>
        </w:rPr>
        <w:t>.</w:t>
      </w:r>
    </w:p>
    <w:p w:rsidR="00DB233C" w:rsidRPr="00DB233C" w:rsidRDefault="00DB233C" w:rsidP="00DB233C">
      <w:pPr>
        <w:spacing w:before="100" w:beforeAutospacing="1" w:after="100" w:afterAutospacing="1" w:line="288" w:lineRule="atLeas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val="uk-UA" w:eastAsia="ru-RU"/>
        </w:rPr>
      </w:pPr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> </w:t>
      </w:r>
    </w:p>
    <w:p w:rsidR="00DB233C" w:rsidRPr="00DB233C" w:rsidRDefault="00DB233C" w:rsidP="00DB233C">
      <w:pPr>
        <w:spacing w:before="100" w:beforeAutospacing="1" w:after="100" w:afterAutospacing="1" w:line="288" w:lineRule="atLeast"/>
        <w:ind w:left="1080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val="uk-UA" w:eastAsia="ru-RU"/>
        </w:rPr>
      </w:pPr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>1.</w:t>
      </w:r>
      <w:r w:rsidRPr="00DB233C">
        <w:rPr>
          <w:rFonts w:ascii="Times New Roman" w:eastAsia="Times New Roman" w:hAnsi="Times New Roman" w:cs="Times New Roman"/>
          <w:kern w:val="36"/>
          <w:sz w:val="14"/>
          <w:szCs w:val="14"/>
          <w:shd w:val="clear" w:color="auto" w:fill="FFFFFF"/>
          <w:lang w:val="uk-UA" w:eastAsia="ru-RU"/>
        </w:rPr>
        <w:t>      </w:t>
      </w:r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 xml:space="preserve">Якщо педагог або інший працівник закладу освіти ( інший учасник освітнього процесу) с </w:t>
      </w:r>
      <w:proofErr w:type="spellStart"/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>Ав</w:t>
      </w:r>
      <w:proofErr w:type="spellEnd"/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 xml:space="preserve"> свідком </w:t>
      </w:r>
      <w:proofErr w:type="spellStart"/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>булінгу</w:t>
      </w:r>
      <w:proofErr w:type="spellEnd"/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>, він інформує керівника закладу освіти в письмовій формі незалежно від того, поскаржилася йому жертва чи ні; або ж аналогічно після отримання звернення дитини.</w:t>
      </w:r>
    </w:p>
    <w:p w:rsidR="00DB233C" w:rsidRPr="00DB233C" w:rsidRDefault="00DB233C" w:rsidP="00DB233C">
      <w:pPr>
        <w:spacing w:before="100" w:beforeAutospacing="1" w:after="100" w:afterAutospacing="1" w:line="288" w:lineRule="atLeast"/>
        <w:ind w:left="1080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val="uk-UA" w:eastAsia="ru-RU"/>
        </w:rPr>
      </w:pPr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>2.</w:t>
      </w:r>
      <w:r w:rsidRPr="00DB233C">
        <w:rPr>
          <w:rFonts w:ascii="Times New Roman" w:eastAsia="Times New Roman" w:hAnsi="Times New Roman" w:cs="Times New Roman"/>
          <w:kern w:val="36"/>
          <w:sz w:val="14"/>
          <w:szCs w:val="14"/>
          <w:shd w:val="clear" w:color="auto" w:fill="FFFFFF"/>
          <w:lang w:val="uk-UA" w:eastAsia="ru-RU"/>
        </w:rPr>
        <w:t>      </w:t>
      </w:r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>Учасником освітнього процесу ( учні, вчителі, батьки) на ім’я керівника освітнього закладу подається заява, де вказується інформація щодо джерела її отримання:</w:t>
      </w:r>
    </w:p>
    <w:p w:rsidR="00DB233C" w:rsidRPr="00DB233C" w:rsidRDefault="00DB233C" w:rsidP="00DB233C">
      <w:pPr>
        <w:spacing w:before="100" w:beforeAutospacing="1" w:after="100" w:afterAutospacing="1" w:line="288" w:lineRule="atLeast"/>
        <w:ind w:left="1800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val="uk-UA" w:eastAsia="ru-RU"/>
        </w:rPr>
      </w:pPr>
      <w:r w:rsidRPr="00DB233C">
        <w:rPr>
          <w:rFonts w:ascii="Symbol" w:eastAsia="Times New Roman" w:hAnsi="Symbol" w:cs="Times New Roman"/>
          <w:kern w:val="36"/>
          <w:sz w:val="24"/>
          <w:szCs w:val="24"/>
          <w:shd w:val="clear" w:color="auto" w:fill="FFFFFF"/>
          <w:lang w:val="uk-UA" w:eastAsia="ru-RU"/>
        </w:rPr>
        <w:t></w:t>
      </w:r>
      <w:r w:rsidRPr="00DB233C">
        <w:rPr>
          <w:rFonts w:ascii="Times New Roman" w:eastAsia="Times New Roman" w:hAnsi="Times New Roman" w:cs="Times New Roman"/>
          <w:kern w:val="36"/>
          <w:sz w:val="14"/>
          <w:szCs w:val="14"/>
          <w:shd w:val="clear" w:color="auto" w:fill="FFFFFF"/>
          <w:lang w:val="uk-UA" w:eastAsia="ru-RU"/>
        </w:rPr>
        <w:t>         </w:t>
      </w:r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 xml:space="preserve">Постраждалий чи  свідок </w:t>
      </w:r>
      <w:proofErr w:type="spellStart"/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>булінгу</w:t>
      </w:r>
      <w:proofErr w:type="spellEnd"/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 xml:space="preserve"> (цькування);</w:t>
      </w:r>
    </w:p>
    <w:p w:rsidR="00DB233C" w:rsidRPr="00DB233C" w:rsidRDefault="00DB233C" w:rsidP="00DB233C">
      <w:pPr>
        <w:spacing w:before="100" w:beforeAutospacing="1" w:after="100" w:afterAutospacing="1" w:line="288" w:lineRule="atLeast"/>
        <w:ind w:left="1800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val="uk-UA" w:eastAsia="ru-RU"/>
        </w:rPr>
      </w:pPr>
      <w:r w:rsidRPr="00DB233C">
        <w:rPr>
          <w:rFonts w:ascii="Symbol" w:eastAsia="Times New Roman" w:hAnsi="Symbol" w:cs="Times New Roman"/>
          <w:kern w:val="36"/>
          <w:sz w:val="24"/>
          <w:szCs w:val="24"/>
          <w:shd w:val="clear" w:color="auto" w:fill="FFFFFF"/>
          <w:lang w:val="uk-UA" w:eastAsia="ru-RU"/>
        </w:rPr>
        <w:t></w:t>
      </w:r>
      <w:r w:rsidRPr="00DB233C">
        <w:rPr>
          <w:rFonts w:ascii="Times New Roman" w:eastAsia="Times New Roman" w:hAnsi="Times New Roman" w:cs="Times New Roman"/>
          <w:kern w:val="36"/>
          <w:sz w:val="14"/>
          <w:szCs w:val="14"/>
          <w:shd w:val="clear" w:color="auto" w:fill="FFFFFF"/>
          <w:lang w:val="uk-UA" w:eastAsia="ru-RU"/>
        </w:rPr>
        <w:t>         </w:t>
      </w:r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>Підозра про вчинення по відношенню до інших осіб за зовнішніми ознаками;</w:t>
      </w:r>
    </w:p>
    <w:p w:rsidR="00DB233C" w:rsidRPr="00DB233C" w:rsidRDefault="00DB233C" w:rsidP="00DB233C">
      <w:pPr>
        <w:spacing w:before="100" w:beforeAutospacing="1" w:after="100" w:afterAutospacing="1" w:line="288" w:lineRule="atLeast"/>
        <w:ind w:left="1800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val="uk-UA" w:eastAsia="ru-RU"/>
        </w:rPr>
      </w:pPr>
      <w:r w:rsidRPr="00DB233C">
        <w:rPr>
          <w:rFonts w:ascii="Symbol" w:eastAsia="Times New Roman" w:hAnsi="Symbol" w:cs="Times New Roman"/>
          <w:kern w:val="36"/>
          <w:sz w:val="24"/>
          <w:szCs w:val="24"/>
          <w:shd w:val="clear" w:color="auto" w:fill="FFFFFF"/>
          <w:lang w:val="uk-UA" w:eastAsia="ru-RU"/>
        </w:rPr>
        <w:t></w:t>
      </w:r>
      <w:r w:rsidRPr="00DB233C">
        <w:rPr>
          <w:rFonts w:ascii="Times New Roman" w:eastAsia="Times New Roman" w:hAnsi="Times New Roman" w:cs="Times New Roman"/>
          <w:kern w:val="36"/>
          <w:sz w:val="14"/>
          <w:szCs w:val="14"/>
          <w:shd w:val="clear" w:color="auto" w:fill="FFFFFF"/>
          <w:lang w:val="uk-UA" w:eastAsia="ru-RU"/>
        </w:rPr>
        <w:t>         </w:t>
      </w:r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>Достовірна інформація від інших осіб.</w:t>
      </w:r>
    </w:p>
    <w:p w:rsidR="00DB233C" w:rsidRPr="00DB233C" w:rsidRDefault="00DB233C" w:rsidP="00DB233C">
      <w:pPr>
        <w:spacing w:before="100" w:beforeAutospacing="1" w:after="100" w:afterAutospacing="1" w:line="288" w:lineRule="atLeast"/>
        <w:ind w:left="1800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val="uk-UA" w:eastAsia="ru-RU"/>
        </w:rPr>
      </w:pPr>
      <w:r w:rsidRPr="00DB233C">
        <w:rPr>
          <w:rFonts w:ascii="Symbol" w:eastAsia="Times New Roman" w:hAnsi="Symbol" w:cs="Times New Roman"/>
          <w:kern w:val="36"/>
          <w:sz w:val="24"/>
          <w:szCs w:val="24"/>
          <w:shd w:val="clear" w:color="auto" w:fill="FFFFFF"/>
          <w:lang w:val="uk-UA" w:eastAsia="ru-RU"/>
        </w:rPr>
        <w:t></w:t>
      </w:r>
      <w:r w:rsidRPr="00DB233C">
        <w:rPr>
          <w:rFonts w:ascii="Times New Roman" w:eastAsia="Times New Roman" w:hAnsi="Times New Roman" w:cs="Times New Roman"/>
          <w:kern w:val="36"/>
          <w:sz w:val="14"/>
          <w:szCs w:val="14"/>
          <w:shd w:val="clear" w:color="auto" w:fill="FFFFFF"/>
          <w:lang w:val="uk-UA" w:eastAsia="ru-RU"/>
        </w:rPr>
        <w:t>         </w:t>
      </w:r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>Та часу:</w:t>
      </w:r>
    </w:p>
    <w:p w:rsidR="00DB233C" w:rsidRPr="00DB233C" w:rsidRDefault="00DB233C" w:rsidP="00DB233C">
      <w:pPr>
        <w:spacing w:before="100" w:beforeAutospacing="1" w:after="100" w:afterAutospacing="1" w:line="288" w:lineRule="atLeast"/>
        <w:ind w:left="1800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val="uk-UA" w:eastAsia="ru-RU"/>
        </w:rPr>
      </w:pPr>
      <w:r w:rsidRPr="00DB233C">
        <w:rPr>
          <w:rFonts w:ascii="Symbol" w:eastAsia="Times New Roman" w:hAnsi="Symbol" w:cs="Times New Roman"/>
          <w:kern w:val="36"/>
          <w:sz w:val="24"/>
          <w:szCs w:val="24"/>
          <w:shd w:val="clear" w:color="auto" w:fill="FFFFFF"/>
          <w:lang w:val="uk-UA" w:eastAsia="ru-RU"/>
        </w:rPr>
        <w:t></w:t>
      </w:r>
      <w:r w:rsidRPr="00DB233C">
        <w:rPr>
          <w:rFonts w:ascii="Times New Roman" w:eastAsia="Times New Roman" w:hAnsi="Times New Roman" w:cs="Times New Roman"/>
          <w:kern w:val="36"/>
          <w:sz w:val="14"/>
          <w:szCs w:val="14"/>
          <w:shd w:val="clear" w:color="auto" w:fill="FFFFFF"/>
          <w:lang w:val="uk-UA" w:eastAsia="ru-RU"/>
        </w:rPr>
        <w:t>         </w:t>
      </w:r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>Як довго триває;</w:t>
      </w:r>
    </w:p>
    <w:p w:rsidR="00DB233C" w:rsidRPr="00DB233C" w:rsidRDefault="00DB233C" w:rsidP="00DB233C">
      <w:pPr>
        <w:spacing w:before="100" w:beforeAutospacing="1" w:after="100" w:afterAutospacing="1" w:line="288" w:lineRule="atLeast"/>
        <w:ind w:left="1800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val="uk-UA" w:eastAsia="ru-RU"/>
        </w:rPr>
      </w:pPr>
      <w:r w:rsidRPr="00DB233C">
        <w:rPr>
          <w:rFonts w:ascii="Symbol" w:eastAsia="Times New Roman" w:hAnsi="Symbol" w:cs="Times New Roman"/>
          <w:kern w:val="36"/>
          <w:sz w:val="24"/>
          <w:szCs w:val="24"/>
          <w:shd w:val="clear" w:color="auto" w:fill="FFFFFF"/>
          <w:lang w:val="uk-UA" w:eastAsia="ru-RU"/>
        </w:rPr>
        <w:t></w:t>
      </w:r>
      <w:r w:rsidRPr="00DB233C">
        <w:rPr>
          <w:rFonts w:ascii="Times New Roman" w:eastAsia="Times New Roman" w:hAnsi="Times New Roman" w:cs="Times New Roman"/>
          <w:kern w:val="36"/>
          <w:sz w:val="14"/>
          <w:szCs w:val="14"/>
          <w:shd w:val="clear" w:color="auto" w:fill="FFFFFF"/>
          <w:lang w:val="uk-UA" w:eastAsia="ru-RU"/>
        </w:rPr>
        <w:t>         </w:t>
      </w:r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>Одноразовий конфлікт чи відповідні дії носили систематичний характер.</w:t>
      </w:r>
    </w:p>
    <w:p w:rsidR="00DB233C" w:rsidRPr="00DB233C" w:rsidRDefault="00DB233C" w:rsidP="00DB233C">
      <w:pPr>
        <w:spacing w:before="100" w:beforeAutospacing="1" w:after="100" w:afterAutospacing="1" w:line="288" w:lineRule="atLeast"/>
        <w:ind w:left="1080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val="uk-UA" w:eastAsia="ru-RU"/>
        </w:rPr>
      </w:pPr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>3.</w:t>
      </w:r>
      <w:r w:rsidRPr="00DB233C">
        <w:rPr>
          <w:rFonts w:ascii="Times New Roman" w:eastAsia="Times New Roman" w:hAnsi="Times New Roman" w:cs="Times New Roman"/>
          <w:kern w:val="36"/>
          <w:sz w:val="14"/>
          <w:szCs w:val="14"/>
          <w:shd w:val="clear" w:color="auto" w:fill="FFFFFF"/>
          <w:lang w:val="uk-UA" w:eastAsia="ru-RU"/>
        </w:rPr>
        <w:t>      </w:t>
      </w:r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>Відповідно до такої заяви керівник закладу освіти видає рішення про проведення розслідування із визначенням уповноважених осіб.</w:t>
      </w:r>
    </w:p>
    <w:p w:rsidR="00DB233C" w:rsidRPr="00DB233C" w:rsidRDefault="00DB233C" w:rsidP="00DB233C">
      <w:pPr>
        <w:spacing w:before="100" w:beforeAutospacing="1" w:after="100" w:afterAutospacing="1" w:line="288" w:lineRule="atLeast"/>
        <w:ind w:left="1080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val="uk-UA" w:eastAsia="ru-RU"/>
        </w:rPr>
      </w:pPr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>4.</w:t>
      </w:r>
      <w:r w:rsidRPr="00DB233C">
        <w:rPr>
          <w:rFonts w:ascii="Times New Roman" w:eastAsia="Times New Roman" w:hAnsi="Times New Roman" w:cs="Times New Roman"/>
          <w:kern w:val="36"/>
          <w:sz w:val="14"/>
          <w:szCs w:val="14"/>
          <w:shd w:val="clear" w:color="auto" w:fill="FFFFFF"/>
          <w:lang w:val="uk-UA" w:eastAsia="ru-RU"/>
        </w:rPr>
        <w:t>      </w:t>
      </w:r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 xml:space="preserve">Наказом керівника закладу освіти по школі пишеться наказ про створення Комісії з розгляду випадків </w:t>
      </w:r>
      <w:proofErr w:type="spellStart"/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>булінгу</w:t>
      </w:r>
      <w:proofErr w:type="spellEnd"/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 xml:space="preserve"> (цькування) за участі педагогічних </w:t>
      </w:r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lastRenderedPageBreak/>
        <w:t xml:space="preserve">працівників, психолога та соціального педагога школи, батьків потерпілого та </w:t>
      </w:r>
      <w:proofErr w:type="spellStart"/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>булера</w:t>
      </w:r>
      <w:proofErr w:type="spellEnd"/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>, керівника закладу, інших зацікавлених осіб.</w:t>
      </w:r>
    </w:p>
    <w:p w:rsidR="00DB233C" w:rsidRPr="00DB233C" w:rsidRDefault="00DB233C" w:rsidP="00DB233C">
      <w:pPr>
        <w:spacing w:before="100" w:beforeAutospacing="1" w:after="100" w:afterAutospacing="1" w:line="288" w:lineRule="atLeast"/>
        <w:ind w:left="1080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val="uk-UA" w:eastAsia="ru-RU"/>
        </w:rPr>
      </w:pPr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>5.</w:t>
      </w:r>
      <w:r w:rsidRPr="00DB233C">
        <w:rPr>
          <w:rFonts w:ascii="Times New Roman" w:eastAsia="Times New Roman" w:hAnsi="Times New Roman" w:cs="Times New Roman"/>
          <w:kern w:val="36"/>
          <w:sz w:val="14"/>
          <w:szCs w:val="14"/>
          <w:shd w:val="clear" w:color="auto" w:fill="FFFFFF"/>
          <w:lang w:val="uk-UA" w:eastAsia="ru-RU"/>
        </w:rPr>
        <w:t>      </w:t>
      </w:r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 xml:space="preserve"> Розглянувши письмову заяву, керівник закладу освіти скликає засідання комісії з розгляду випадків </w:t>
      </w:r>
      <w:proofErr w:type="spellStart"/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>булінгу</w:t>
      </w:r>
      <w:proofErr w:type="spellEnd"/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 xml:space="preserve"> і окреслює подальші дії.</w:t>
      </w:r>
    </w:p>
    <w:p w:rsidR="00DB233C" w:rsidRPr="00DB233C" w:rsidRDefault="00DB233C" w:rsidP="00DB233C">
      <w:pPr>
        <w:spacing w:before="100" w:beforeAutospacing="1" w:after="100" w:afterAutospacing="1" w:line="288" w:lineRule="atLeast"/>
        <w:ind w:left="1080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val="uk-UA" w:eastAsia="ru-RU"/>
        </w:rPr>
      </w:pPr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>6.</w:t>
      </w:r>
      <w:r w:rsidRPr="00DB233C">
        <w:rPr>
          <w:rFonts w:ascii="Times New Roman" w:eastAsia="Times New Roman" w:hAnsi="Times New Roman" w:cs="Times New Roman"/>
          <w:kern w:val="36"/>
          <w:sz w:val="14"/>
          <w:szCs w:val="14"/>
          <w:shd w:val="clear" w:color="auto" w:fill="FFFFFF"/>
          <w:lang w:val="uk-UA" w:eastAsia="ru-RU"/>
        </w:rPr>
        <w:t>      </w:t>
      </w:r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>Комісія на протязі однієї доби проводить розслідування, з’ясовує  всі обставини цькування та приймає відповідне рішення.</w:t>
      </w:r>
    </w:p>
    <w:p w:rsidR="00DB233C" w:rsidRPr="00DB233C" w:rsidRDefault="00DB233C" w:rsidP="00DB233C">
      <w:pPr>
        <w:spacing w:before="100" w:beforeAutospacing="1" w:after="100" w:afterAutospacing="1" w:line="288" w:lineRule="atLeast"/>
        <w:ind w:left="1080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val="uk-UA" w:eastAsia="ru-RU"/>
        </w:rPr>
      </w:pPr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>7.</w:t>
      </w:r>
      <w:r w:rsidRPr="00DB233C">
        <w:rPr>
          <w:rFonts w:ascii="Times New Roman" w:eastAsia="Times New Roman" w:hAnsi="Times New Roman" w:cs="Times New Roman"/>
          <w:kern w:val="36"/>
          <w:sz w:val="14"/>
          <w:szCs w:val="14"/>
          <w:shd w:val="clear" w:color="auto" w:fill="FFFFFF"/>
          <w:lang w:val="uk-UA" w:eastAsia="ru-RU"/>
        </w:rPr>
        <w:t>      </w:t>
      </w:r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 xml:space="preserve">За умови визнання Комісією результатів розслідування фактом </w:t>
      </w:r>
      <w:proofErr w:type="spellStart"/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>булінгу</w:t>
      </w:r>
      <w:proofErr w:type="spellEnd"/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 xml:space="preserve"> (цькування), керівник  освітньої установи на протязі однієї доби  повідомляє уповноважені підрозділи органів Національної поліції України (ювенальну поліцію), Службу у справах дітей.</w:t>
      </w:r>
    </w:p>
    <w:p w:rsidR="00DB233C" w:rsidRPr="00DB233C" w:rsidRDefault="00DB233C" w:rsidP="00DB233C">
      <w:pPr>
        <w:spacing w:before="100" w:beforeAutospacing="1" w:after="100" w:afterAutospacing="1" w:line="288" w:lineRule="atLeast"/>
        <w:ind w:left="1080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val="uk-UA" w:eastAsia="ru-RU"/>
        </w:rPr>
      </w:pPr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>8.</w:t>
      </w:r>
      <w:r w:rsidRPr="00DB233C">
        <w:rPr>
          <w:rFonts w:ascii="Times New Roman" w:eastAsia="Times New Roman" w:hAnsi="Times New Roman" w:cs="Times New Roman"/>
          <w:kern w:val="36"/>
          <w:sz w:val="14"/>
          <w:szCs w:val="14"/>
          <w:shd w:val="clear" w:color="auto" w:fill="FFFFFF"/>
          <w:lang w:val="uk-UA" w:eastAsia="ru-RU"/>
        </w:rPr>
        <w:t>      </w:t>
      </w:r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 xml:space="preserve">Рішення Комісії з розгляду випадків </w:t>
      </w:r>
      <w:proofErr w:type="spellStart"/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>булінгу</w:t>
      </w:r>
      <w:proofErr w:type="spellEnd"/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 xml:space="preserve"> реєструються в окремому журналі (паперовий вигляд) з оригіналами підписів усіх членів.</w:t>
      </w:r>
    </w:p>
    <w:p w:rsidR="00DB233C" w:rsidRPr="00DB233C" w:rsidRDefault="00DB233C" w:rsidP="00DB233C">
      <w:pPr>
        <w:spacing w:before="100" w:beforeAutospacing="1" w:after="100" w:afterAutospacing="1" w:line="288" w:lineRule="atLeast"/>
        <w:ind w:left="1080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val="uk-UA" w:eastAsia="ru-RU"/>
        </w:rPr>
      </w:pPr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>9.</w:t>
      </w:r>
      <w:r w:rsidRPr="00DB233C">
        <w:rPr>
          <w:rFonts w:ascii="Times New Roman" w:eastAsia="Times New Roman" w:hAnsi="Times New Roman" w:cs="Times New Roman"/>
          <w:kern w:val="36"/>
          <w:sz w:val="14"/>
          <w:szCs w:val="14"/>
          <w:shd w:val="clear" w:color="auto" w:fill="FFFFFF"/>
          <w:lang w:val="uk-UA" w:eastAsia="ru-RU"/>
        </w:rPr>
        <w:t>      </w:t>
      </w:r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 xml:space="preserve">У разі не визнання Комісією факту </w:t>
      </w:r>
      <w:proofErr w:type="spellStart"/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>булінгу</w:t>
      </w:r>
      <w:proofErr w:type="spellEnd"/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 xml:space="preserve"> (цькування) і незгоди з результатами рішення потерпілим (його представником), керівник освітньої установи рекомендує звернутися постраждалому (його представнику)  із заявою до органів Національної поліції України.</w:t>
      </w:r>
    </w:p>
    <w:p w:rsidR="00DB233C" w:rsidRPr="00DB233C" w:rsidRDefault="00DB233C" w:rsidP="00DB233C">
      <w:pPr>
        <w:spacing w:before="100" w:beforeAutospacing="1" w:after="100" w:afterAutospacing="1" w:line="288" w:lineRule="atLeast"/>
        <w:ind w:left="1080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val="uk-UA" w:eastAsia="ru-RU"/>
        </w:rPr>
      </w:pPr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>10.</w:t>
      </w:r>
      <w:r w:rsidRPr="00DB233C">
        <w:rPr>
          <w:rFonts w:ascii="Times New Roman" w:eastAsia="Times New Roman" w:hAnsi="Times New Roman" w:cs="Times New Roman"/>
          <w:kern w:val="36"/>
          <w:sz w:val="14"/>
          <w:szCs w:val="14"/>
          <w:shd w:val="clear" w:color="auto" w:fill="FFFFFF"/>
          <w:lang w:val="uk-UA" w:eastAsia="ru-RU"/>
        </w:rPr>
        <w:t>  </w:t>
      </w:r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 xml:space="preserve">За будь-якого рішення Комісії з розгляду питань випадків </w:t>
      </w:r>
      <w:proofErr w:type="spellStart"/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>булінгу</w:t>
      </w:r>
      <w:proofErr w:type="spellEnd"/>
      <w:r w:rsidRPr="00DB233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uk-UA" w:eastAsia="ru-RU"/>
        </w:rPr>
        <w:t xml:space="preserve"> (цькування) керівник закладу освіти забезпечує психологічну підтримку усіх учасників відповідного процесу. </w:t>
      </w:r>
    </w:p>
    <w:sectPr w:rsidR="00DB233C" w:rsidRPr="00DB233C" w:rsidSect="00E41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B233C"/>
    <w:rsid w:val="00971176"/>
    <w:rsid w:val="009A2A73"/>
    <w:rsid w:val="00BE5FB5"/>
    <w:rsid w:val="00DB233C"/>
    <w:rsid w:val="00E4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76"/>
  </w:style>
  <w:style w:type="paragraph" w:styleId="1">
    <w:name w:val="heading 1"/>
    <w:basedOn w:val="a"/>
    <w:link w:val="10"/>
    <w:uiPriority w:val="9"/>
    <w:qFormat/>
    <w:rsid w:val="00DB2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3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B2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23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2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74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0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5323">
              <w:marLeft w:val="432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84837">
              <w:marLeft w:val="432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1597">
              <w:marLeft w:val="432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1969">
              <w:marLeft w:val="432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657-19" TargetMode="External"/><Relationship Id="rId13" Type="http://schemas.openxmlformats.org/officeDocument/2006/relationships/hyperlink" Target="https://drive.google.com/open?id=1EzplNAHVt2mha4AMkPLzHPzboDvyxK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ada.info/upload/users_files/02147782/a32bba072f53866b133ab9bdf378d016.pdf" TargetMode="External"/><Relationship Id="rId12" Type="http://schemas.openxmlformats.org/officeDocument/2006/relationships/hyperlink" Target="https://mon.gov.ua/ua/osvita/zagalna-serednya-osvita/protidiya-bulingu/korisni-posilannya-shodo-temi-antibuling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GU-yUiXyeQr3z6X0MWd7mf2AFVaeGFF5/view" TargetMode="External"/><Relationship Id="rId11" Type="http://schemas.openxmlformats.org/officeDocument/2006/relationships/hyperlink" Target="https://zakon.rada.gov.ua/rada/show/v-557729-14" TargetMode="External"/><Relationship Id="rId5" Type="http://schemas.openxmlformats.org/officeDocument/2006/relationships/hyperlink" Target="https://mon.gov.ua/ua/npa/pro-zatverdzhennya-metodichnih-rekomendacij-shodo-viyavlennya-reaguvannya-na-vipadki-domashnogo-nasilstva-i-vzayemodiyi-pedagogichnih-pracivnikiv-iz-inshimi-organami-ta-sluzhbam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rada/show/v-557729-14" TargetMode="External"/><Relationship Id="rId4" Type="http://schemas.openxmlformats.org/officeDocument/2006/relationships/hyperlink" Target="https://zakon.rada.gov.ua/laws/show/658-2018-%D0%BF" TargetMode="External"/><Relationship Id="rId9" Type="http://schemas.openxmlformats.org/officeDocument/2006/relationships/hyperlink" Target="https://zakon.rada.gov.ua/laws/show/z1105-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2020-03-24T16:11:00Z</dcterms:created>
  <dcterms:modified xsi:type="dcterms:W3CDTF">2020-08-17T16:36:00Z</dcterms:modified>
</cp:coreProperties>
</file>